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atinject</w:t>
      </w:r>
      <w:r>
        <w:rPr>
          <w:rStyle w:val="a0"/>
        </w:rPr>
        <w:t xml:space="preserve"> </w:t>
      </w:r>
      <w:r>
        <w:rPr>
          <w:rStyle w:val="a0"/>
          <w:rFonts w:ascii="Arial" w:hAnsi="Arial"/>
          <w:b w:val="0"/>
          <w:sz w:val="21"/>
        </w:rPr>
        <w:t>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2009 The JSR-330 Expert Group</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